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rPr>
        <w:t>湖南博云新材料股份有限公司</w:t>
      </w:r>
    </w:p>
    <w:p>
      <w:pPr>
        <w:autoSpaceDE w:val="0"/>
        <w:autoSpaceDN w:val="0"/>
        <w:adjustRightInd w:val="0"/>
        <w:spacing w:line="500" w:lineRule="exact"/>
        <w:jc w:val="center"/>
        <w:rPr>
          <w:rFonts w:hint="eastAsia" w:ascii="宋体" w:hAnsi="Times New Roman" w:eastAsia="宋体" w:cs="宋体"/>
          <w:b/>
          <w:kern w:val="0"/>
          <w:sz w:val="32"/>
          <w:szCs w:val="32"/>
        </w:rPr>
      </w:pPr>
      <w:r>
        <w:rPr>
          <w:rFonts w:hint="eastAsia" w:ascii="宋体" w:hAnsi="Times New Roman" w:eastAsia="宋体" w:cs="宋体"/>
          <w:b/>
          <w:kern w:val="0"/>
          <w:sz w:val="32"/>
          <w:szCs w:val="32"/>
          <w:lang w:eastAsia="zh-CN"/>
        </w:rPr>
        <w:t>董事、高级管理人员离职</w:t>
      </w:r>
      <w:r>
        <w:rPr>
          <w:rFonts w:hint="eastAsia" w:ascii="宋体" w:hAnsi="Times New Roman" w:eastAsia="宋体" w:cs="宋体"/>
          <w:b/>
          <w:kern w:val="0"/>
          <w:sz w:val="32"/>
          <w:szCs w:val="32"/>
        </w:rPr>
        <w:t>管理制度</w:t>
      </w:r>
    </w:p>
    <w:p>
      <w:pPr>
        <w:keepNext w:val="0"/>
        <w:keepLines w:val="0"/>
        <w:pageBreakBefore w:val="0"/>
        <w:widowControl w:val="0"/>
        <w:kinsoku/>
        <w:wordWrap/>
        <w:overflowPunct/>
        <w:topLinePunct w:val="0"/>
        <w:autoSpaceDE/>
        <w:autoSpaceDN/>
        <w:bidi w:val="0"/>
        <w:adjustRightInd/>
        <w:snapToGrid/>
        <w:spacing w:before="313" w:beforeLines="100" w:after="157" w:afterLines="50" w:line="460" w:lineRule="exact"/>
        <w:jc w:val="center"/>
        <w:textAlignment w:val="auto"/>
        <w:rPr>
          <w:rFonts w:hint="eastAsia"/>
          <w:b/>
          <w:bCs/>
          <w:kern w:val="0"/>
          <w:sz w:val="24"/>
          <w:szCs w:val="22"/>
        </w:rPr>
      </w:pPr>
      <w:r>
        <w:rPr>
          <w:rFonts w:hint="eastAsia"/>
          <w:b/>
          <w:bCs/>
          <w:kern w:val="0"/>
          <w:sz w:val="24"/>
          <w:szCs w:val="22"/>
        </w:rPr>
        <w:t>第一章 总 则</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color w:val="000000"/>
          <w:kern w:val="0"/>
          <w:sz w:val="24"/>
          <w:szCs w:val="24"/>
          <w:lang w:val="en-US" w:eastAsia="zh-CN" w:bidi="ar"/>
        </w:rPr>
      </w:pPr>
      <w:r>
        <w:rPr>
          <w:rFonts w:hint="eastAsia" w:ascii="宋体" w:cs="宋体"/>
          <w:b/>
          <w:bCs/>
          <w:kern w:val="0"/>
          <w:sz w:val="24"/>
        </w:rPr>
        <w:t>第一条</w:t>
      </w:r>
      <w:r>
        <w:rPr>
          <w:rFonts w:hint="eastAsia" w:ascii="宋体" w:cs="宋体"/>
          <w:b/>
          <w:bCs/>
          <w:kern w:val="0"/>
          <w:sz w:val="24"/>
          <w:lang w:val="en-US" w:eastAsia="zh-CN"/>
        </w:rPr>
        <w:t xml:space="preserve">  </w:t>
      </w:r>
      <w:r>
        <w:rPr>
          <w:rFonts w:hint="eastAsia" w:ascii="宋体" w:cs="宋体"/>
          <w:kern w:val="0"/>
          <w:sz w:val="24"/>
          <w:lang w:val="en-US" w:eastAsia="zh-CN"/>
        </w:rPr>
        <w:t>为加强</w:t>
      </w:r>
      <w:r>
        <w:rPr>
          <w:rFonts w:hint="eastAsia" w:ascii="宋体" w:cs="宋体"/>
          <w:kern w:val="0"/>
          <w:sz w:val="24"/>
        </w:rPr>
        <w:t>湖南博云新材料股份有限公司（以下简称“公司”）董事</w:t>
      </w:r>
      <w:r>
        <w:rPr>
          <w:rFonts w:hint="eastAsia" w:ascii="宋体" w:cs="宋体"/>
          <w:kern w:val="0"/>
          <w:sz w:val="24"/>
          <w:lang w:eastAsia="zh-CN"/>
        </w:rPr>
        <w:t>、</w:t>
      </w:r>
      <w:r>
        <w:rPr>
          <w:rFonts w:hint="eastAsia" w:ascii="宋体" w:cs="宋体"/>
          <w:kern w:val="0"/>
          <w:sz w:val="24"/>
        </w:rPr>
        <w:t>高级管理人员的离职管理</w:t>
      </w:r>
      <w:r>
        <w:rPr>
          <w:rFonts w:hint="eastAsia" w:ascii="宋体" w:cs="宋体"/>
          <w:kern w:val="0"/>
          <w:sz w:val="24"/>
          <w:lang w:eastAsia="zh-CN"/>
        </w:rPr>
        <w:t>，</w:t>
      </w:r>
      <w:r>
        <w:rPr>
          <w:rFonts w:hint="eastAsia" w:ascii="宋体" w:cs="宋体"/>
          <w:kern w:val="0"/>
          <w:sz w:val="24"/>
        </w:rPr>
        <w:t>保障公司治理稳定性及股东合法权益，根据《中华人民共和国公司法》</w:t>
      </w:r>
      <w:r>
        <w:rPr>
          <w:rFonts w:hint="eastAsia" w:ascii="宋体" w:cs="宋体"/>
          <w:kern w:val="0"/>
          <w:sz w:val="24"/>
          <w:lang w:eastAsia="zh-CN"/>
        </w:rPr>
        <w:t>（</w:t>
      </w:r>
      <w:r>
        <w:rPr>
          <w:rFonts w:hint="eastAsia" w:ascii="宋体" w:cs="宋体"/>
          <w:kern w:val="0"/>
          <w:sz w:val="24"/>
          <w:lang w:val="en-US" w:eastAsia="zh-CN"/>
        </w:rPr>
        <w:t>以下简称《公司法》</w:t>
      </w:r>
      <w:r>
        <w:rPr>
          <w:rFonts w:hint="eastAsia" w:ascii="宋体" w:cs="宋体"/>
          <w:kern w:val="0"/>
          <w:sz w:val="24"/>
          <w:lang w:eastAsia="zh-CN"/>
        </w:rPr>
        <w:t>）</w:t>
      </w:r>
      <w:r>
        <w:rPr>
          <w:rFonts w:hint="eastAsia" w:ascii="宋体" w:cs="宋体"/>
          <w:kern w:val="0"/>
          <w:sz w:val="24"/>
        </w:rPr>
        <w:t>《中华人民共和国证券法》</w:t>
      </w:r>
      <w:r>
        <w:rPr>
          <w:rFonts w:hint="eastAsia" w:ascii="宋体" w:cs="宋体"/>
          <w:kern w:val="0"/>
          <w:sz w:val="24"/>
          <w:lang w:val="en-US" w:eastAsia="zh-CN"/>
        </w:rPr>
        <w:t>《深圳证券交易所股票上市规则》（以下简称《股票上市规则》）</w:t>
      </w:r>
      <w:r>
        <w:rPr>
          <w:rFonts w:hint="eastAsia" w:ascii="宋体" w:hAnsi="宋体" w:eastAsia="宋体" w:cs="宋体"/>
          <w:color w:val="000000"/>
          <w:kern w:val="0"/>
          <w:sz w:val="24"/>
          <w:szCs w:val="24"/>
          <w:lang w:val="en-US" w:eastAsia="zh-CN" w:bidi="ar"/>
        </w:rPr>
        <w:t xml:space="preserve">等相关法律、行政法规、部门规章及《公司章程》的规定，结合公司实际情况，制定本制度。 </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第二条  </w:t>
      </w:r>
      <w:r>
        <w:rPr>
          <w:rFonts w:hint="eastAsia" w:ascii="宋体" w:hAnsi="宋体" w:cs="宋体"/>
          <w:b w:val="0"/>
          <w:bCs w:val="0"/>
          <w:color w:val="000000"/>
          <w:kern w:val="0"/>
          <w:sz w:val="24"/>
          <w:szCs w:val="24"/>
          <w:lang w:val="en-US" w:eastAsia="zh-CN" w:bidi="ar"/>
        </w:rPr>
        <w:t>本制度适用于公司董事（含独立董事）、高级管理人员因任期届满、辞任、被解除职务或其他原因离职的情形。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第二章  离职情形与生效条件</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第三条  </w:t>
      </w:r>
      <w:r>
        <w:rPr>
          <w:rFonts w:hint="eastAsia" w:ascii="宋体" w:hAnsi="宋体" w:cs="宋体"/>
          <w:b w:val="0"/>
          <w:bCs w:val="0"/>
          <w:color w:val="000000"/>
          <w:kern w:val="0"/>
          <w:sz w:val="24"/>
          <w:szCs w:val="24"/>
          <w:lang w:val="en-US" w:eastAsia="zh-CN" w:bidi="ar"/>
        </w:rPr>
        <w:t>公司董事、高级管理人员可以在任期届满以前辞任。董事、高级管理人员辞职应当向公司提交书面辞职报告，说明辞职时间、辞职原因、辞去的职务、辞职后是否继续在公司及其控股子公司任职（如继续任职，说明继续任职的情况）等情况。公司在收到辞职报告后两个交易日内披露有关情况。</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第四条  </w:t>
      </w:r>
      <w:r>
        <w:rPr>
          <w:rFonts w:hint="eastAsia" w:ascii="宋体" w:hAnsi="宋体" w:cs="宋体"/>
          <w:b w:val="0"/>
          <w:bCs w:val="0"/>
          <w:color w:val="000000"/>
          <w:kern w:val="0"/>
          <w:sz w:val="24"/>
          <w:szCs w:val="24"/>
          <w:lang w:val="en-US" w:eastAsia="zh-CN" w:bidi="ar"/>
        </w:rPr>
        <w:t>除</w:t>
      </w:r>
      <w:r>
        <w:rPr>
          <w:rFonts w:ascii="宋体" w:hAnsi="宋体" w:eastAsia="宋体" w:cs="宋体"/>
          <w:sz w:val="24"/>
          <w:szCs w:val="24"/>
        </w:rPr>
        <w:t>本</w:t>
      </w:r>
      <w:r>
        <w:rPr>
          <w:rFonts w:hint="eastAsia" w:ascii="宋体" w:hAnsi="宋体" w:cs="宋体"/>
          <w:sz w:val="24"/>
          <w:szCs w:val="24"/>
          <w:lang w:val="en-US" w:eastAsia="zh-CN"/>
        </w:rPr>
        <w:t>制度</w:t>
      </w:r>
      <w:r>
        <w:rPr>
          <w:rFonts w:ascii="宋体" w:hAnsi="宋体" w:eastAsia="宋体" w:cs="宋体"/>
          <w:sz w:val="24"/>
          <w:szCs w:val="24"/>
        </w:rPr>
        <w:t>第</w:t>
      </w:r>
      <w:r>
        <w:rPr>
          <w:rFonts w:hint="eastAsia" w:ascii="宋体" w:hAnsi="宋体" w:cs="宋体"/>
          <w:sz w:val="24"/>
          <w:szCs w:val="24"/>
          <w:lang w:val="en-US" w:eastAsia="zh-CN"/>
        </w:rPr>
        <w:t>六条</w:t>
      </w:r>
      <w:r>
        <w:rPr>
          <w:rFonts w:ascii="宋体" w:hAnsi="宋体" w:eastAsia="宋体" w:cs="宋体"/>
          <w:sz w:val="24"/>
          <w:szCs w:val="24"/>
        </w:rPr>
        <w:t>规定情形外</w:t>
      </w:r>
      <w:r>
        <w:rPr>
          <w:rFonts w:hint="eastAsia" w:ascii="宋体" w:hAnsi="宋体" w:cs="宋体"/>
          <w:sz w:val="24"/>
          <w:szCs w:val="24"/>
          <w:lang w:eastAsia="zh-CN"/>
        </w:rPr>
        <w:t>，</w:t>
      </w:r>
      <w:r>
        <w:rPr>
          <w:rFonts w:hint="eastAsia" w:ascii="宋体" w:hAnsi="宋体" w:cs="宋体"/>
          <w:b w:val="0"/>
          <w:bCs w:val="0"/>
          <w:color w:val="000000"/>
          <w:kern w:val="0"/>
          <w:sz w:val="24"/>
          <w:szCs w:val="24"/>
          <w:lang w:val="en-US" w:eastAsia="zh-CN" w:bidi="ar"/>
        </w:rPr>
        <w:t>出现下列规定情形的，在改选出的董事就任前，原董事仍应当按照有关法律、法规和公司章程的规定继续履行职责：</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（一）董事任期届满未及时改选，或者董事在任期内辞职导致董事会成员低于法定最低人数；</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（二）审计与合规管理委员会成员辞职导致审计与合规管理委员会成员低于法定最低人数，或者欠缺会计专业人士；</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（三）独立董事辞职导致上市公司董事会或者其专门委员会中独立董事所占比例不符合法律法规或者公司章程的规定，或者独立董事中欠缺会计专业人士；</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（四）职工代表董事辞职导致公司董事会构成不符合《公司法》规定的。</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除前款所列情形外，董事辞职自董事会收到辞职报告时生效。</w:t>
      </w:r>
    </w:p>
    <w:p>
      <w:pPr>
        <w:keepNext w:val="0"/>
        <w:keepLines w:val="0"/>
        <w:pageBreakBefore w:val="0"/>
        <w:kinsoku/>
        <w:wordWrap/>
        <w:overflowPunct/>
        <w:topLinePunct w:val="0"/>
        <w:autoSpaceDE/>
        <w:autoSpaceDN/>
        <w:bidi w:val="0"/>
        <w:adjustRightInd/>
        <w:snapToGrid/>
        <w:spacing w:line="460" w:lineRule="exact"/>
        <w:ind w:firstLine="480" w:firstLineChars="200"/>
        <w:textAlignment w:val="auto"/>
        <w:rPr>
          <w:rFonts w:hint="default" w:ascii="宋体" w:hAnsi="宋体" w:cs="宋体"/>
          <w:b w:val="0"/>
          <w:bCs w:val="0"/>
          <w:color w:val="000000"/>
          <w:kern w:val="0"/>
          <w:sz w:val="24"/>
          <w:szCs w:val="24"/>
          <w:lang w:val="en-US" w:eastAsia="zh-CN" w:bidi="ar"/>
        </w:rPr>
      </w:pPr>
      <w:r>
        <w:rPr>
          <w:rFonts w:hint="default" w:ascii="宋体" w:hAnsi="宋体" w:cs="宋体"/>
          <w:b w:val="0"/>
          <w:bCs w:val="0"/>
          <w:color w:val="000000"/>
          <w:kern w:val="0"/>
          <w:sz w:val="24"/>
          <w:szCs w:val="24"/>
          <w:lang w:val="en-US" w:eastAsia="zh-CN" w:bidi="ar"/>
        </w:rPr>
        <w:t>董事提出辞任的，公司应当在</w:t>
      </w:r>
      <w:r>
        <w:rPr>
          <w:rFonts w:hint="eastAsia" w:ascii="宋体" w:hAnsi="宋体" w:cs="宋体"/>
          <w:b w:val="0"/>
          <w:bCs w:val="0"/>
          <w:color w:val="000000"/>
          <w:kern w:val="0"/>
          <w:sz w:val="24"/>
          <w:szCs w:val="24"/>
          <w:lang w:val="en-US" w:eastAsia="zh-CN" w:bidi="ar"/>
        </w:rPr>
        <w:t>六十</w:t>
      </w:r>
      <w:r>
        <w:rPr>
          <w:rFonts w:hint="default" w:ascii="宋体" w:hAnsi="宋体" w:cs="宋体"/>
          <w:b w:val="0"/>
          <w:bCs w:val="0"/>
          <w:color w:val="000000"/>
          <w:kern w:val="0"/>
          <w:sz w:val="24"/>
          <w:szCs w:val="24"/>
          <w:lang w:val="en-US" w:eastAsia="zh-CN" w:bidi="ar"/>
        </w:rPr>
        <w:t>日内完成补选，确保董事会</w:t>
      </w:r>
      <w:r>
        <w:rPr>
          <w:rFonts w:hint="eastAsia" w:ascii="宋体" w:hAnsi="宋体" w:cs="宋体"/>
          <w:b w:val="0"/>
          <w:bCs w:val="0"/>
          <w:color w:val="000000"/>
          <w:kern w:val="0"/>
          <w:sz w:val="24"/>
          <w:szCs w:val="24"/>
          <w:lang w:val="en-US" w:eastAsia="zh-CN" w:bidi="ar"/>
        </w:rPr>
        <w:t>及其专门委员会</w:t>
      </w:r>
      <w:r>
        <w:rPr>
          <w:rFonts w:hint="default" w:ascii="宋体" w:hAnsi="宋体" w:cs="宋体"/>
          <w:b w:val="0"/>
          <w:bCs w:val="0"/>
          <w:color w:val="000000"/>
          <w:kern w:val="0"/>
          <w:sz w:val="24"/>
          <w:szCs w:val="24"/>
          <w:lang w:val="en-US" w:eastAsia="zh-CN" w:bidi="ar"/>
        </w:rPr>
        <w:t>构成符合法律、行政法规、部门规章及</w:t>
      </w:r>
      <w:r>
        <w:rPr>
          <w:rFonts w:hint="eastAsia" w:ascii="宋体" w:hAnsi="宋体" w:cs="宋体"/>
          <w:b w:val="0"/>
          <w:bCs w:val="0"/>
          <w:color w:val="000000"/>
          <w:kern w:val="0"/>
          <w:sz w:val="24"/>
          <w:szCs w:val="24"/>
          <w:lang w:val="en-US" w:eastAsia="zh-CN" w:bidi="ar"/>
        </w:rPr>
        <w:t>《</w:t>
      </w:r>
      <w:r>
        <w:rPr>
          <w:rFonts w:hint="default" w:ascii="宋体" w:hAnsi="宋体" w:cs="宋体"/>
          <w:b w:val="0"/>
          <w:bCs w:val="0"/>
          <w:color w:val="000000"/>
          <w:kern w:val="0"/>
          <w:sz w:val="24"/>
          <w:szCs w:val="24"/>
          <w:lang w:val="en-US" w:eastAsia="zh-CN" w:bidi="ar"/>
        </w:rPr>
        <w:t>公司章程</w:t>
      </w:r>
      <w:r>
        <w:rPr>
          <w:rFonts w:hint="eastAsia" w:ascii="宋体" w:hAnsi="宋体" w:cs="宋体"/>
          <w:b w:val="0"/>
          <w:bCs w:val="0"/>
          <w:color w:val="000000"/>
          <w:kern w:val="0"/>
          <w:sz w:val="24"/>
          <w:szCs w:val="24"/>
          <w:lang w:val="en-US" w:eastAsia="zh-CN" w:bidi="ar"/>
        </w:rPr>
        <w:t>》</w:t>
      </w:r>
      <w:r>
        <w:rPr>
          <w:rFonts w:hint="default" w:ascii="宋体" w:hAnsi="宋体" w:cs="宋体"/>
          <w:b w:val="0"/>
          <w:bCs w:val="0"/>
          <w:color w:val="000000"/>
          <w:kern w:val="0"/>
          <w:sz w:val="24"/>
          <w:szCs w:val="24"/>
          <w:lang w:val="en-US" w:eastAsia="zh-CN" w:bidi="ar"/>
        </w:rPr>
        <w:t>的规定。</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第五条 </w:t>
      </w:r>
      <w:r>
        <w:rPr>
          <w:rFonts w:hint="eastAsia" w:ascii="宋体" w:hAnsi="宋体" w:cs="宋体"/>
          <w:b w:val="0"/>
          <w:bCs w:val="0"/>
          <w:color w:val="000000"/>
          <w:kern w:val="0"/>
          <w:sz w:val="24"/>
          <w:szCs w:val="24"/>
          <w:lang w:val="en-US" w:eastAsia="zh-CN" w:bidi="ar"/>
        </w:rPr>
        <w:t xml:space="preserve"> 董事任期届满未获连任的，自股东会选举产生新一届董事会之日自动离职。</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第六条  </w:t>
      </w:r>
      <w:r>
        <w:rPr>
          <w:rFonts w:hint="eastAsia" w:ascii="宋体" w:hAnsi="宋体" w:cs="宋体"/>
          <w:b w:val="0"/>
          <w:bCs w:val="0"/>
          <w:color w:val="000000"/>
          <w:kern w:val="0"/>
          <w:sz w:val="24"/>
          <w:szCs w:val="24"/>
          <w:lang w:val="en-US" w:eastAsia="zh-CN" w:bidi="ar"/>
        </w:rPr>
        <w:t>公司董事、高级管理人员为自然人，有下列情形之一的，不能担任公司的董事、高级管理人员：</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（一）</w:t>
      </w:r>
      <w:r>
        <w:rPr>
          <w:rFonts w:hint="default" w:ascii="宋体" w:hAnsi="宋体" w:cs="宋体"/>
          <w:b w:val="0"/>
          <w:bCs w:val="0"/>
          <w:color w:val="000000"/>
          <w:kern w:val="0"/>
          <w:sz w:val="24"/>
          <w:szCs w:val="24"/>
          <w:lang w:val="en-US" w:eastAsia="zh-CN" w:bidi="ar"/>
        </w:rPr>
        <w:t>无民事行为能力或者限制民事行为能力；</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 xml:space="preserve">    （二）因贪污、贿赂、侵占财产、挪用财产或者破坏社会主义市场经济秩序，被判处刑罚，或者因犯罪被剥夺政治权利，执行期满未逾五年，被宣告缓刑的，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自缓刑考验期满之日起未逾两年；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（三）担任破产清算的公司、企业的董事或者厂长、经理，对该公司、企业的破产负有个人责任的，自该公司、企业破产清算完结之日起未逾三年；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（四）担任因违法被吊销营业执照、责令关闭的公司、企业的法定代表人，并负有个人责任的，自该公司、企业被吊销营业执照、责令关闭之日起未逾三年；</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（五）个人因所负数额较大债务到期未清偿被人民法院列为失信被执行人；</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（六）被国务院证券监督管理机构采取证券市场禁入措施，期限未满的；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（七）被证券交易所公开认定为不适合担任上市公司董事、高级管理人员等，期限未满的；</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（八）法律、行政法规或者部门规章规定的其他内容。</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董事、高级管理人员在任职期间出现本条情形的，公司将解除其职务，停止</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其履职。相关董事应当被解除职务但仍未解除，参加董事会及其专门委员会会议、</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default"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独立董事专门会议并投票的，其投票无效。</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第七条  </w:t>
      </w:r>
      <w:r>
        <w:rPr>
          <w:rFonts w:hint="eastAsia" w:ascii="宋体" w:hAnsi="宋体" w:cs="宋体"/>
          <w:b w:val="0"/>
          <w:bCs w:val="0"/>
          <w:color w:val="000000"/>
          <w:kern w:val="0"/>
          <w:sz w:val="24"/>
          <w:szCs w:val="24"/>
          <w:lang w:val="en-US" w:eastAsia="zh-CN" w:bidi="ar"/>
        </w:rPr>
        <w:t>股东会可以决议解任董事，决议作出之日解任生效。无正当理由，在任期届满前解任董事的，董事可以要求公司予以赔偿。</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第三章  移交手续与未结事项处理</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第八条  </w:t>
      </w:r>
      <w:r>
        <w:rPr>
          <w:rFonts w:hint="eastAsia" w:ascii="宋体" w:hAnsi="宋体" w:cs="宋体"/>
          <w:b w:val="0"/>
          <w:bCs w:val="0"/>
          <w:color w:val="000000"/>
          <w:kern w:val="0"/>
          <w:sz w:val="24"/>
          <w:szCs w:val="24"/>
          <w:lang w:val="en-US" w:eastAsia="zh-CN" w:bidi="ar"/>
        </w:rPr>
        <w:t>董事、高级管理人员在离职生效后五个工作日内，应向董事会移交其任职期间取得的涉及公司的全部文件、印章、数据资产、未了结事务清单及其他公司要求移交的文件，移交完成后，离职人员应当与公司授权人士共同签署确认书等相关文件。</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第九条  </w:t>
      </w:r>
      <w:r>
        <w:rPr>
          <w:rFonts w:hint="eastAsia" w:ascii="宋体" w:hAnsi="宋体" w:cs="宋体"/>
          <w:b w:val="0"/>
          <w:bCs w:val="0"/>
          <w:color w:val="000000"/>
          <w:kern w:val="0"/>
          <w:sz w:val="24"/>
          <w:szCs w:val="24"/>
          <w:lang w:val="en-US" w:eastAsia="zh-CN" w:bidi="ar"/>
        </w:rPr>
        <w:t>董事、高级管理人员在离职后应全力配合公司对其履职期间重大事项的后续核查；董事会认定必要时可以安排对其离任审计，离职人员须配合，并提供必要的文件和说明。</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第十条  </w:t>
      </w:r>
      <w:r>
        <w:rPr>
          <w:rFonts w:hint="eastAsia" w:ascii="宋体" w:hAnsi="宋体" w:cs="宋体"/>
          <w:b w:val="0"/>
          <w:bCs w:val="0"/>
          <w:color w:val="000000"/>
          <w:kern w:val="0"/>
          <w:sz w:val="24"/>
          <w:szCs w:val="24"/>
          <w:lang w:val="en-US" w:eastAsia="zh-CN" w:bidi="ar"/>
        </w:rPr>
        <w:t>公司董事、高级管理人员在任职期间作出的公开承诺，无论其离职原因如何，均应继续履行。董事、高级管理人员离职前存在未履行完毕的公开承诺，公司有权要求其制定书面履行方案及承诺；如其未按前述承诺及方案履行的，公司有权要求其赔偿由此产生的部分或全部损失。</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第四章  离职后的责任与义务</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第十一条  </w:t>
      </w:r>
      <w:r>
        <w:rPr>
          <w:rFonts w:hint="eastAsia" w:ascii="宋体" w:hAnsi="宋体" w:cs="宋体"/>
          <w:b w:val="0"/>
          <w:bCs w:val="0"/>
          <w:color w:val="000000"/>
          <w:kern w:val="0"/>
          <w:sz w:val="24"/>
          <w:szCs w:val="24"/>
          <w:lang w:val="en-US" w:eastAsia="zh-CN" w:bidi="ar"/>
        </w:rPr>
        <w:t>董事、高级管理人员离职后，不得利用原职务影响干扰公司正常经营，或损害公司及股东利益。离职董事、高级管理人员对公司和股东承担的忠实义务，在任期结束后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第十二条  </w:t>
      </w:r>
      <w:r>
        <w:rPr>
          <w:rFonts w:hint="eastAsia" w:ascii="宋体" w:hAnsi="宋体" w:cs="宋体"/>
          <w:b w:val="0"/>
          <w:bCs w:val="0"/>
          <w:color w:val="000000"/>
          <w:kern w:val="0"/>
          <w:sz w:val="24"/>
          <w:szCs w:val="24"/>
          <w:lang w:val="en-US" w:eastAsia="zh-CN" w:bidi="ar"/>
        </w:rPr>
        <w:t>董事、高级管理人员在任职期间因执行职务而应承担的责任，不因离任而免除或者终止。</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第十三条  </w:t>
      </w:r>
      <w:r>
        <w:rPr>
          <w:rFonts w:hint="eastAsia" w:ascii="宋体" w:hAnsi="宋体" w:cs="宋体"/>
          <w:b w:val="0"/>
          <w:bCs w:val="0"/>
          <w:color w:val="000000"/>
          <w:kern w:val="0"/>
          <w:sz w:val="24"/>
          <w:szCs w:val="24"/>
          <w:lang w:val="en-US" w:eastAsia="zh-CN" w:bidi="ar"/>
        </w:rPr>
        <w:t>董事、高级管理人员在就任时确定的任职期间内每年转让的股份不得超过其所持有公司同一类别股份总数的百分之二十五；董事、高级管理人员离职后六个月内，不得转让其所持有的公司股份。法律、行政法规或深圳证券交易所对公司股份的转让限制另有规定的，从其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第五章  责任追究机制</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第十四条 </w:t>
      </w:r>
      <w:r>
        <w:rPr>
          <w:rFonts w:hint="eastAsia" w:ascii="宋体" w:hAnsi="宋体" w:cs="宋体"/>
          <w:b w:val="0"/>
          <w:bCs w:val="0"/>
          <w:color w:val="000000"/>
          <w:kern w:val="0"/>
          <w:sz w:val="24"/>
          <w:szCs w:val="24"/>
          <w:lang w:val="en-US" w:eastAsia="zh-CN" w:bidi="ar"/>
        </w:rPr>
        <w:t xml:space="preserve"> 如公司发现离职董事、高级管理人员存在未履行承诺、移交瑕疵或违反忠实义务等情形的，董事会应召开会议审议对该等人员的具体追责方案，追偿金额包括但不限于直接损失、预期利益损失及合理维权费用等。</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eastAsia"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第十五条  </w:t>
      </w:r>
      <w:r>
        <w:rPr>
          <w:rFonts w:hint="eastAsia" w:ascii="宋体" w:hAnsi="宋体" w:cs="宋体"/>
          <w:b w:val="0"/>
          <w:bCs w:val="0"/>
          <w:color w:val="000000"/>
          <w:kern w:val="0"/>
          <w:sz w:val="24"/>
          <w:szCs w:val="24"/>
          <w:lang w:val="en-US" w:eastAsia="zh-CN" w:bidi="ar"/>
        </w:rPr>
        <w:t>离职董事、高级管理人员对追责决定有异议的，可自收到通知之日起十五日内向公司审计与合规管理</w:t>
      </w:r>
      <w:bookmarkStart w:id="1" w:name="_GoBack"/>
      <w:bookmarkEnd w:id="1"/>
      <w:r>
        <w:rPr>
          <w:rFonts w:hint="eastAsia" w:ascii="宋体" w:hAnsi="宋体" w:cs="宋体"/>
          <w:b w:val="0"/>
          <w:bCs w:val="0"/>
          <w:color w:val="000000"/>
          <w:kern w:val="0"/>
          <w:sz w:val="24"/>
          <w:szCs w:val="24"/>
          <w:lang w:val="en-US" w:eastAsia="zh-CN" w:bidi="ar"/>
        </w:rPr>
        <w:t>委员会申请复核，复核期间不影响公司采取财产保全措施（如有）。</w:t>
      </w:r>
    </w:p>
    <w:p>
      <w:pPr>
        <w:keepNext w:val="0"/>
        <w:keepLines w:val="0"/>
        <w:pageBreakBefore w:val="0"/>
        <w:widowControl w:val="0"/>
        <w:kinsoku/>
        <w:wordWrap/>
        <w:overflowPunct/>
        <w:topLinePunct w:val="0"/>
        <w:autoSpaceDE/>
        <w:autoSpaceDN/>
        <w:bidi w:val="0"/>
        <w:adjustRightInd/>
        <w:snapToGrid/>
        <w:spacing w:before="157" w:beforeLines="50" w:after="157" w:afterLines="50" w:line="460" w:lineRule="exact"/>
        <w:jc w:val="center"/>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第六章  附则</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val="0"/>
          <w:bCs w:val="0"/>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第十六条  </w:t>
      </w:r>
      <w:r>
        <w:rPr>
          <w:rFonts w:hint="eastAsia" w:ascii="宋体" w:hAnsi="宋体" w:cs="宋体"/>
          <w:b w:val="0"/>
          <w:bCs w:val="0"/>
          <w:color w:val="000000"/>
          <w:kern w:val="0"/>
          <w:sz w:val="24"/>
          <w:szCs w:val="24"/>
          <w:lang w:val="en-US" w:eastAsia="zh-CN" w:bidi="ar"/>
        </w:rPr>
        <w:t>本制度未尽事宜，按有关法律、行政法规、中国证监会和深圳证券交易所的有关规定执行。</w:t>
      </w:r>
      <w:bookmarkStart w:id="0" w:name="OLE_LINK1"/>
      <w:r>
        <w:rPr>
          <w:rFonts w:hint="eastAsia" w:ascii="宋体" w:hAnsi="宋体" w:cs="宋体"/>
          <w:b w:val="0"/>
          <w:bCs w:val="0"/>
          <w:color w:val="000000"/>
          <w:kern w:val="0"/>
          <w:sz w:val="24"/>
          <w:szCs w:val="24"/>
          <w:lang w:val="en-US" w:eastAsia="zh-CN" w:bidi="ar"/>
        </w:rPr>
        <w:t>本制度</w:t>
      </w:r>
      <w:r>
        <w:rPr>
          <w:rFonts w:hint="eastAsia" w:ascii="宋体" w:hAnsi="宋体" w:eastAsia="宋体" w:cs="宋体"/>
          <w:color w:val="000000"/>
          <w:sz w:val="24"/>
        </w:rPr>
        <w:t>如与国家日后颁布</w:t>
      </w:r>
      <w:r>
        <w:rPr>
          <w:rFonts w:hint="eastAsia" w:ascii="宋体" w:hAnsi="宋体" w:cs="宋体"/>
          <w:color w:val="000000"/>
          <w:sz w:val="24"/>
          <w:lang w:eastAsia="zh-CN"/>
        </w:rPr>
        <w:t>的</w:t>
      </w:r>
      <w:r>
        <w:rPr>
          <w:rFonts w:hint="eastAsia" w:ascii="宋体" w:hAnsi="宋体" w:cs="宋体"/>
          <w:b w:val="0"/>
          <w:bCs w:val="0"/>
          <w:color w:val="000000"/>
          <w:kern w:val="0"/>
          <w:sz w:val="24"/>
          <w:szCs w:val="24"/>
          <w:lang w:val="en-US" w:eastAsia="zh-CN" w:bidi="ar"/>
        </w:rPr>
        <w:t>法律、法规、规范性文件及《公司章程》的有关规定相抵触的，以有关法律法规、规范性文件</w:t>
      </w:r>
      <w:bookmarkEnd w:id="0"/>
      <w:r>
        <w:rPr>
          <w:rFonts w:hint="eastAsia" w:ascii="宋体" w:hAnsi="宋体" w:cs="宋体"/>
          <w:b w:val="0"/>
          <w:bCs w:val="0"/>
          <w:color w:val="000000"/>
          <w:kern w:val="0"/>
          <w:sz w:val="24"/>
          <w:szCs w:val="24"/>
          <w:lang w:val="en-US" w:eastAsia="zh-CN" w:bidi="ar"/>
        </w:rPr>
        <w:t>及《公司章程》的规定为准。</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 xml:space="preserve">第十七条  </w:t>
      </w:r>
      <w:r>
        <w:rPr>
          <w:rFonts w:hint="eastAsia" w:ascii="宋体" w:cs="宋体"/>
          <w:kern w:val="0"/>
          <w:sz w:val="24"/>
          <w:lang w:val="en-US" w:eastAsia="zh-CN"/>
        </w:rPr>
        <w:t>本制度由公司董事会负责解释、修订。</w:t>
      </w:r>
    </w:p>
    <w:p>
      <w:pPr>
        <w:keepNext w:val="0"/>
        <w:keepLines w:val="0"/>
        <w:pageBreakBefore w:val="0"/>
        <w:kinsoku/>
        <w:wordWrap/>
        <w:overflowPunct/>
        <w:topLinePunct w:val="0"/>
        <w:autoSpaceDE/>
        <w:autoSpaceDN/>
        <w:bidi w:val="0"/>
        <w:adjustRightInd/>
        <w:snapToGrid/>
        <w:spacing w:line="460" w:lineRule="exact"/>
        <w:ind w:firstLine="482" w:firstLineChars="200"/>
        <w:textAlignment w:val="auto"/>
        <w:rPr>
          <w:rFonts w:hint="default" w:ascii="宋体" w:hAnsi="宋体" w:eastAsia="宋体" w:cs="宋体"/>
          <w:color w:val="000000"/>
          <w:kern w:val="0"/>
          <w:sz w:val="24"/>
          <w:szCs w:val="24"/>
          <w:lang w:val="en-US" w:eastAsia="zh-CN" w:bidi="ar"/>
        </w:rPr>
      </w:pPr>
      <w:r>
        <w:rPr>
          <w:rFonts w:hint="eastAsia" w:ascii="宋体" w:hAnsi="宋体" w:cs="宋体"/>
          <w:b/>
          <w:bCs/>
          <w:color w:val="000000"/>
          <w:kern w:val="0"/>
          <w:sz w:val="24"/>
          <w:szCs w:val="24"/>
          <w:lang w:val="en-US" w:eastAsia="zh-CN" w:bidi="ar"/>
        </w:rPr>
        <w:t>第十八条</w:t>
      </w:r>
      <w:r>
        <w:rPr>
          <w:rFonts w:hint="eastAsia" w:ascii="宋体" w:hAnsi="宋体" w:cs="宋体"/>
          <w:color w:val="000000"/>
          <w:kern w:val="0"/>
          <w:sz w:val="24"/>
          <w:szCs w:val="24"/>
          <w:lang w:val="en-US" w:eastAsia="zh-CN" w:bidi="ar"/>
        </w:rPr>
        <w:t xml:space="preserve">  </w:t>
      </w:r>
      <w:r>
        <w:rPr>
          <w:rFonts w:hint="eastAsia" w:ascii="宋体" w:cs="宋体"/>
          <w:kern w:val="0"/>
          <w:sz w:val="24"/>
          <w:lang w:val="en-US" w:eastAsia="zh-CN"/>
        </w:rPr>
        <w:t>本制度自公司董事会审议通过之日起生效并实施。</w:t>
      </w:r>
      <w:r>
        <w:rPr>
          <w:rFonts w:hint="eastAsia" w:ascii="宋体" w:hAnsi="宋体" w:cs="宋体"/>
          <w:color w:val="000000"/>
          <w:kern w:val="0"/>
          <w:sz w:val="24"/>
          <w:szCs w:val="24"/>
          <w:lang w:val="en-US" w:eastAsia="zh-CN" w:bidi="ar"/>
        </w:rPr>
        <w:t xml:space="preserve">  </w:t>
      </w:r>
    </w:p>
    <w:p>
      <w:pPr>
        <w:keepNext w:val="0"/>
        <w:keepLines w:val="0"/>
        <w:pageBreakBefore w:val="0"/>
        <w:kinsoku/>
        <w:wordWrap/>
        <w:overflowPunct/>
        <w:topLinePunct w:val="0"/>
        <w:autoSpaceDE/>
        <w:autoSpaceDN/>
        <w:bidi w:val="0"/>
        <w:adjustRightInd/>
        <w:snapToGrid/>
        <w:spacing w:line="460" w:lineRule="exac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